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4500"/>
        <w:gridCol w:w="5670"/>
      </w:tblGrid>
      <w:tr w:rsidR="001063B9" w:rsidTr="00080BA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063B9" w:rsidRPr="001063B9" w:rsidRDefault="001063B9" w:rsidP="001063B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063B9">
              <w:rPr>
                <w:rFonts w:ascii="Times New Roman" w:hAnsi="Times New Roman" w:cs="Times New Roman"/>
                <w:b/>
                <w:sz w:val="26"/>
                <w:szCs w:val="28"/>
              </w:rPr>
              <w:t>HỘI NÔNG DÂN VIỆT NAM</w:t>
            </w:r>
          </w:p>
          <w:p w:rsidR="001063B9" w:rsidRPr="001063B9" w:rsidRDefault="001063B9" w:rsidP="001063B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063B9">
              <w:rPr>
                <w:rFonts w:ascii="Times New Roman" w:hAnsi="Times New Roman" w:cs="Times New Roman"/>
                <w:sz w:val="26"/>
                <w:szCs w:val="28"/>
              </w:rPr>
              <w:t>HỘI NÔNG DÂN TỈNH PHÚ YÊN</w:t>
            </w:r>
          </w:p>
          <w:p w:rsidR="001063B9" w:rsidRDefault="001063B9" w:rsidP="001063B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063B9">
              <w:rPr>
                <w:rFonts w:ascii="Times New Roman" w:hAnsi="Times New Roman" w:cs="Times New Roman"/>
                <w:b/>
                <w:sz w:val="26"/>
                <w:szCs w:val="28"/>
              </w:rPr>
              <w:t>BCH HỘI ND HUYỆN SÔNG HINH</w:t>
            </w:r>
          </w:p>
          <w:p w:rsidR="001063B9" w:rsidRPr="001063B9" w:rsidRDefault="001063B9" w:rsidP="0010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*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063B9" w:rsidRDefault="001063B9" w:rsidP="001063B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063B9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1063B9" w:rsidRPr="001063B9" w:rsidRDefault="001063B9" w:rsidP="0010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Độc</w:t>
            </w:r>
            <w:proofErr w:type="spellEnd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lập</w:t>
            </w:r>
            <w:proofErr w:type="spellEnd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Tự</w:t>
            </w:r>
            <w:proofErr w:type="spellEnd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do – </w:t>
            </w:r>
            <w:proofErr w:type="spellStart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Hạnh</w:t>
            </w:r>
            <w:proofErr w:type="spellEnd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phuc</w:t>
            </w:r>
            <w:proofErr w:type="spellEnd"/>
          </w:p>
        </w:tc>
      </w:tr>
      <w:tr w:rsidR="001063B9" w:rsidTr="00CB031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063B9" w:rsidRDefault="001063B9" w:rsidP="0010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463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-CV/HNDH</w:t>
            </w:r>
          </w:p>
          <w:p w:rsidR="001063B9" w:rsidRDefault="001063B9" w:rsidP="0010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B9">
              <w:rPr>
                <w:rFonts w:ascii="Times New Roman" w:hAnsi="Times New Roman" w:cs="Times New Roman"/>
                <w:sz w:val="26"/>
                <w:szCs w:val="28"/>
              </w:rPr>
              <w:t>“</w:t>
            </w:r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V/v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>tiếp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>tục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>đẩy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>mạnh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>và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>nâng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>cao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>hiệu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>quả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>hoạt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>động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>Quỹ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HTND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>các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6"/>
                <w:szCs w:val="28"/>
              </w:rPr>
              <w:t>cấp</w:t>
            </w:r>
            <w:proofErr w:type="spellEnd"/>
            <w:r w:rsidRPr="001063B9">
              <w:rPr>
                <w:rFonts w:ascii="Times New Roman" w:hAnsi="Times New Roman" w:cs="Times New Roman"/>
                <w:sz w:val="26"/>
                <w:szCs w:val="28"/>
              </w:rPr>
              <w:t>”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063B9" w:rsidRPr="001063B9" w:rsidRDefault="001063B9" w:rsidP="001063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>Sông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>Hinh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17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 </w:t>
            </w:r>
            <w:proofErr w:type="spellStart"/>
            <w:r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2022</w:t>
            </w:r>
          </w:p>
        </w:tc>
      </w:tr>
    </w:tbl>
    <w:p w:rsidR="001063B9" w:rsidRDefault="001063B9">
      <w:pPr>
        <w:rPr>
          <w:rFonts w:ascii="Times New Roman" w:hAnsi="Times New Roman" w:cs="Times New Roman"/>
          <w:sz w:val="28"/>
          <w:szCs w:val="28"/>
        </w:rPr>
      </w:pPr>
    </w:p>
    <w:p w:rsidR="001063B9" w:rsidRDefault="001063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350"/>
        <w:gridCol w:w="7195"/>
      </w:tblGrid>
      <w:tr w:rsidR="001063B9" w:rsidTr="00CB031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063B9" w:rsidRDefault="0010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1063B9" w:rsidRDefault="0010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trấn</w:t>
            </w:r>
            <w:proofErr w:type="spellEnd"/>
          </w:p>
        </w:tc>
      </w:tr>
    </w:tbl>
    <w:p w:rsidR="001063B9" w:rsidRDefault="001063B9">
      <w:pPr>
        <w:rPr>
          <w:rFonts w:ascii="Times New Roman" w:hAnsi="Times New Roman" w:cs="Times New Roman"/>
          <w:sz w:val="28"/>
          <w:szCs w:val="28"/>
        </w:rPr>
      </w:pPr>
    </w:p>
    <w:p w:rsidR="001063B9" w:rsidRDefault="001063B9" w:rsidP="0010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1633-CV/HNDT,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13/5/2022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HTND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63B9" w:rsidRDefault="001063B9" w:rsidP="0010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A36B2" w:rsidRDefault="001A36B2" w:rsidP="0010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VII,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HTND</w:t>
      </w:r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HTND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82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="00E76982">
        <w:rPr>
          <w:rFonts w:ascii="Times New Roman" w:hAnsi="Times New Roman" w:cs="Times New Roman"/>
          <w:sz w:val="28"/>
          <w:szCs w:val="28"/>
        </w:rPr>
        <w:t xml:space="preserve"> HTND.</w:t>
      </w:r>
    </w:p>
    <w:p w:rsidR="00AE062C" w:rsidRDefault="00AE062C" w:rsidP="0010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HTND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1577-CV/VPTW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20/8/2021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61-KL/TW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03/12/2009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516/QĐ-</w:t>
      </w:r>
      <w:proofErr w:type="spellStart"/>
      <w:r>
        <w:rPr>
          <w:rFonts w:ascii="Times New Roman" w:hAnsi="Times New Roman" w:cs="Times New Roman"/>
          <w:sz w:val="28"/>
          <w:szCs w:val="28"/>
        </w:rPr>
        <w:t>TTg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01/4/2021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673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10/5/2011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HTND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HTND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E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AE22E2">
        <w:rPr>
          <w:rFonts w:ascii="Times New Roman" w:hAnsi="Times New Roman" w:cs="Times New Roman"/>
          <w:sz w:val="28"/>
          <w:szCs w:val="28"/>
        </w:rPr>
        <w:t>.</w:t>
      </w:r>
    </w:p>
    <w:p w:rsidR="00EA13AD" w:rsidRDefault="00EA13AD" w:rsidP="0010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HTND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chi,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KHKT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A8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340A89">
        <w:rPr>
          <w:rFonts w:ascii="Times New Roman" w:hAnsi="Times New Roman" w:cs="Times New Roman"/>
          <w:sz w:val="28"/>
          <w:szCs w:val="28"/>
        </w:rPr>
        <w:t>.</w:t>
      </w:r>
    </w:p>
    <w:p w:rsidR="00340A89" w:rsidRDefault="00340A89" w:rsidP="0010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HTND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vướn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0A89">
        <w:rPr>
          <w:rFonts w:ascii="Times New Roman" w:hAnsi="Times New Roman" w:cs="Times New Roman"/>
          <w:i/>
          <w:sz w:val="28"/>
          <w:szCs w:val="28"/>
        </w:rPr>
        <w:t>nếu</w:t>
      </w:r>
      <w:proofErr w:type="spellEnd"/>
      <w:r w:rsidRPr="00340A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0A89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40A89" w:rsidRDefault="00340A89" w:rsidP="0010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lồng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HTND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7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37137F">
        <w:rPr>
          <w:rFonts w:ascii="Times New Roman" w:hAnsi="Times New Roman" w:cs="Times New Roman"/>
          <w:sz w:val="28"/>
          <w:szCs w:val="28"/>
        </w:rPr>
        <w:t>.</w:t>
      </w:r>
    </w:p>
    <w:p w:rsidR="00F672A7" w:rsidRDefault="00F672A7" w:rsidP="0010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2A7" w:rsidRDefault="00F672A7" w:rsidP="0010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2A7" w:rsidRDefault="00F672A7" w:rsidP="001063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870"/>
        <w:gridCol w:w="4329"/>
      </w:tblGrid>
      <w:tr w:rsidR="00532949" w:rsidTr="0053294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32949" w:rsidRDefault="00532949" w:rsidP="0010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Nơi</w:t>
            </w:r>
            <w:proofErr w:type="spellEnd"/>
            <w:r w:rsidRPr="00F67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32949" w:rsidRPr="00F672A7" w:rsidRDefault="00532949" w:rsidP="0053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32949" w:rsidRPr="00F672A7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7">
              <w:rPr>
                <w:rFonts w:ascii="Times New Roman" w:hAnsi="Times New Roman" w:cs="Times New Roman"/>
                <w:b/>
                <w:sz w:val="28"/>
                <w:szCs w:val="28"/>
              </w:rPr>
              <w:t>T/M BAN THƯỜNG VỤ</w:t>
            </w:r>
          </w:p>
        </w:tc>
      </w:tr>
      <w:tr w:rsidR="00532949" w:rsidTr="0053294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32949" w:rsidRPr="00F672A7" w:rsidRDefault="00532949" w:rsidP="001063B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Hội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Nông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dân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tỉnh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;</w:t>
            </w:r>
          </w:p>
          <w:p w:rsidR="00532949" w:rsidRPr="00F672A7" w:rsidRDefault="00532949" w:rsidP="001063B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Thường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trực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Hội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Nông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dân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huyện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;</w:t>
            </w:r>
          </w:p>
          <w:p w:rsidR="00532949" w:rsidRPr="00F672A7" w:rsidRDefault="00532949" w:rsidP="001063B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- BĐH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Quỹ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HTND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huyện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;</w:t>
            </w:r>
          </w:p>
          <w:p w:rsidR="00532949" w:rsidRPr="00F672A7" w:rsidRDefault="00532949" w:rsidP="001063B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- Ban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Thường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vụ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Hội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Nông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dân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các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xã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thị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trấn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  <w:p w:rsidR="00532949" w:rsidRDefault="00532949" w:rsidP="0010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Lưu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VP, VT.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Default="00532949" w:rsidP="00F67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Pr="00F672A7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32949" w:rsidRDefault="00532949" w:rsidP="0053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</w:t>
            </w: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949" w:rsidRPr="00F672A7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72A7">
              <w:rPr>
                <w:rFonts w:ascii="Times New Roman" w:hAnsi="Times New Roman" w:cs="Times New Roman"/>
                <w:b/>
                <w:sz w:val="28"/>
                <w:szCs w:val="28"/>
              </w:rPr>
              <w:t>Bá</w:t>
            </w:r>
            <w:proofErr w:type="spellEnd"/>
            <w:r w:rsidRPr="00F67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 </w:t>
            </w:r>
            <w:proofErr w:type="spellStart"/>
            <w:r w:rsidRPr="00F672A7">
              <w:rPr>
                <w:rFonts w:ascii="Times New Roman" w:hAnsi="Times New Roman" w:cs="Times New Roman"/>
                <w:b/>
                <w:sz w:val="28"/>
                <w:szCs w:val="28"/>
              </w:rPr>
              <w:t>Hiếu</w:t>
            </w:r>
            <w:proofErr w:type="spellEnd"/>
          </w:p>
        </w:tc>
      </w:tr>
    </w:tbl>
    <w:p w:rsidR="00F672A7" w:rsidRDefault="00F672A7" w:rsidP="00106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982" w:rsidRPr="001063B9" w:rsidRDefault="00E76982" w:rsidP="0010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76982" w:rsidRPr="001063B9" w:rsidSect="00F672A7">
      <w:pgSz w:w="12240" w:h="15840"/>
      <w:pgMar w:top="990" w:right="11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66"/>
    <w:rsid w:val="00080BA7"/>
    <w:rsid w:val="001063B9"/>
    <w:rsid w:val="001A36B2"/>
    <w:rsid w:val="00340A89"/>
    <w:rsid w:val="0037137F"/>
    <w:rsid w:val="00532949"/>
    <w:rsid w:val="008C2463"/>
    <w:rsid w:val="00AB1066"/>
    <w:rsid w:val="00AE062C"/>
    <w:rsid w:val="00AE22E2"/>
    <w:rsid w:val="00CB0313"/>
    <w:rsid w:val="00E609E3"/>
    <w:rsid w:val="00E76982"/>
    <w:rsid w:val="00EA13AD"/>
    <w:rsid w:val="00F6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BBF8"/>
  <w15:chartTrackingRefBased/>
  <w15:docId w15:val="{E8B70E92-7E7A-424C-A6ED-EEF21A75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6563-274D-4C11-8325-95E80408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T&amp;T Computer</dc:creator>
  <cp:keywords/>
  <dc:description/>
  <cp:lastModifiedBy>T&amp;T Computer</cp:lastModifiedBy>
  <cp:revision>14</cp:revision>
  <cp:lastPrinted>2022-05-17T03:00:00Z</cp:lastPrinted>
  <dcterms:created xsi:type="dcterms:W3CDTF">2022-05-17T01:18:00Z</dcterms:created>
  <dcterms:modified xsi:type="dcterms:W3CDTF">2022-05-17T03:04:00Z</dcterms:modified>
</cp:coreProperties>
</file>